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6C078" w14:textId="4C6CC647" w:rsidR="003C2014" w:rsidRDefault="003C2014" w:rsidP="003C2014">
      <w:pPr>
        <w:pStyle w:val="Header"/>
        <w:tabs>
          <w:tab w:val="right" w:pos="9639"/>
        </w:tabs>
        <w:jc w:val="both"/>
        <w:rPr>
          <w:bCs/>
          <w:sz w:val="24"/>
          <w:szCs w:val="24"/>
        </w:rPr>
      </w:pPr>
      <w:bookmarkStart w:id="0" w:name="_Hlk37418177"/>
      <w:r>
        <w:rPr>
          <w:bCs/>
          <w:sz w:val="24"/>
          <w:szCs w:val="24"/>
        </w:rPr>
        <w:t>3GPP TSG RAN WG1 #116</w:t>
      </w:r>
      <w:r w:rsidR="00DE40EB">
        <w:rPr>
          <w:bCs/>
          <w:sz w:val="24"/>
          <w:szCs w:val="24"/>
        </w:rPr>
        <w:t>-</w:t>
      </w:r>
      <w:r>
        <w:rPr>
          <w:bCs/>
          <w:sz w:val="24"/>
          <w:szCs w:val="24"/>
        </w:rPr>
        <w:t>bis</w:t>
      </w:r>
      <w:r>
        <w:rPr>
          <w:bCs/>
          <w:sz w:val="24"/>
          <w:szCs w:val="24"/>
        </w:rPr>
        <w:tab/>
      </w:r>
      <w:r w:rsidR="00DE40EB" w:rsidRPr="00DE40EB">
        <w:rPr>
          <w:bCs/>
          <w:sz w:val="24"/>
          <w:szCs w:val="24"/>
        </w:rPr>
        <w:t>R1-2403326</w:t>
      </w:r>
    </w:p>
    <w:p w14:paraId="5852C084" w14:textId="77777777" w:rsidR="003C2014" w:rsidRDefault="003C2014" w:rsidP="003C2014">
      <w:pPr>
        <w:pStyle w:val="Header"/>
        <w:jc w:val="both"/>
        <w:rPr>
          <w:bCs/>
          <w:sz w:val="24"/>
          <w:szCs w:val="24"/>
        </w:rPr>
      </w:pPr>
      <w:r>
        <w:rPr>
          <w:bCs/>
          <w:sz w:val="24"/>
          <w:szCs w:val="24"/>
        </w:rPr>
        <w:t>Changsha, China, April 15 – 19, 2024</w:t>
      </w:r>
    </w:p>
    <w:bookmarkEnd w:id="0"/>
    <w:p w14:paraId="321541A7" w14:textId="77777777" w:rsidR="00D749CC" w:rsidRPr="00FF3F81" w:rsidRDefault="00D749CC" w:rsidP="00CA26CE">
      <w:pPr>
        <w:pStyle w:val="Header"/>
        <w:rPr>
          <w:bCs/>
          <w:noProof w:val="0"/>
          <w:sz w:val="24"/>
          <w:lang w:eastAsia="ja-JP"/>
        </w:rPr>
      </w:pPr>
    </w:p>
    <w:p w14:paraId="30E02941" w14:textId="22BEE3AD"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3C2014">
        <w:rPr>
          <w:rFonts w:cs="Arial"/>
          <w:b/>
          <w:sz w:val="24"/>
          <w:szCs w:val="24"/>
          <w:lang w:val="en-US"/>
        </w:rPr>
        <w:t>5</w:t>
      </w:r>
    </w:p>
    <w:p w14:paraId="30E02942" w14:textId="09106645"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Nokia</w:t>
      </w:r>
    </w:p>
    <w:p w14:paraId="30E02943" w14:textId="63089AB8"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E1769B">
        <w:rPr>
          <w:rFonts w:ascii="Arial" w:hAnsi="Arial" w:cs="Arial"/>
          <w:b/>
          <w:bCs/>
          <w:sz w:val="24"/>
          <w:lang w:val="en-US"/>
        </w:rPr>
        <w:t>Discussion on skipping UL transmission and R17 TBoMS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42C62D90" w14:textId="68E4F5CE" w:rsidR="001D7DBB" w:rsidRPr="001D7DBB" w:rsidRDefault="00E1769B" w:rsidP="00E1769B">
      <w:pPr>
        <w:spacing w:before="120"/>
        <w:rPr>
          <w:sz w:val="22"/>
          <w:szCs w:val="22"/>
          <w:lang w:eastAsia="zh-CN"/>
        </w:rPr>
      </w:pPr>
      <w:bookmarkStart w:id="3" w:name="_Hlk510705081"/>
      <w:r w:rsidRPr="001D7DBB">
        <w:rPr>
          <w:sz w:val="22"/>
          <w:szCs w:val="22"/>
          <w:lang w:eastAsia="zh-CN"/>
        </w:rPr>
        <w:t xml:space="preserve">In this contribution, we </w:t>
      </w:r>
      <w:r w:rsidR="001D7DBB" w:rsidRPr="001D7DBB">
        <w:rPr>
          <w:sz w:val="22"/>
          <w:szCs w:val="22"/>
          <w:lang w:eastAsia="zh-CN"/>
        </w:rPr>
        <w:t>analy</w:t>
      </w:r>
      <w:r w:rsidR="001D7DBB">
        <w:rPr>
          <w:sz w:val="22"/>
          <w:szCs w:val="22"/>
          <w:lang w:eastAsia="zh-CN"/>
        </w:rPr>
        <w:t>z</w:t>
      </w:r>
      <w:r w:rsidR="001D7DBB" w:rsidRPr="001D7DBB">
        <w:rPr>
          <w:sz w:val="22"/>
          <w:szCs w:val="22"/>
          <w:lang w:eastAsia="zh-CN"/>
        </w:rPr>
        <w:t xml:space="preserve">e </w:t>
      </w:r>
      <w:r w:rsidRPr="001D7DBB">
        <w:rPr>
          <w:sz w:val="22"/>
          <w:szCs w:val="22"/>
          <w:lang w:eastAsia="zh-CN"/>
        </w:rPr>
        <w:t>the LS received from RAN2, i.e., R2-2401722, concerning skipping UL transmission and R17 TBoMS</w:t>
      </w:r>
      <w:r w:rsidR="001D7DBB">
        <w:rPr>
          <w:sz w:val="22"/>
          <w:szCs w:val="22"/>
          <w:lang w:eastAsia="zh-CN"/>
        </w:rPr>
        <w:t xml:space="preserve"> [1]</w:t>
      </w:r>
      <w:r w:rsidRPr="001D7DBB">
        <w:rPr>
          <w:sz w:val="22"/>
          <w:szCs w:val="22"/>
          <w:lang w:eastAsia="zh-CN"/>
        </w:rPr>
        <w:t>.</w:t>
      </w:r>
      <w:r w:rsidR="001D7DBB" w:rsidRPr="001D7DBB">
        <w:rPr>
          <w:sz w:val="22"/>
          <w:szCs w:val="22"/>
          <w:lang w:eastAsia="zh-CN"/>
        </w:rPr>
        <w:t xml:space="preserve"> </w:t>
      </w:r>
    </w:p>
    <w:p w14:paraId="34F0AF88" w14:textId="49507F42" w:rsidR="00E1769B" w:rsidRPr="001D7DBB" w:rsidRDefault="001D7DBB" w:rsidP="00E1769B">
      <w:pPr>
        <w:spacing w:before="120"/>
        <w:rPr>
          <w:sz w:val="22"/>
          <w:szCs w:val="22"/>
          <w:lang w:eastAsia="zh-CN"/>
        </w:rPr>
      </w:pPr>
      <w:r w:rsidRPr="001D7DBB">
        <w:rPr>
          <w:sz w:val="22"/>
          <w:szCs w:val="22"/>
          <w:lang w:eastAsia="zh-CN"/>
        </w:rPr>
        <w:t xml:space="preserve">We start by noting that in the ACTIONS field of the LS, RAN2 respectfully ask RAN1 to take the above information into account for their future discussion. In the remainder of this document, we elaborate on the content of the LS and explain why RAN1 should stop the corresponding discussion. </w:t>
      </w:r>
    </w:p>
    <w:p w14:paraId="34E6BD4A" w14:textId="55AD6222" w:rsidR="00E1769B" w:rsidRPr="001D7DBB" w:rsidRDefault="001D7DBB" w:rsidP="00E1769B">
      <w:pPr>
        <w:spacing w:before="120"/>
        <w:rPr>
          <w:sz w:val="22"/>
          <w:szCs w:val="22"/>
          <w:lang w:eastAsia="zh-CN"/>
        </w:rPr>
      </w:pPr>
      <w:r w:rsidRPr="001D7DBB">
        <w:rPr>
          <w:sz w:val="22"/>
          <w:szCs w:val="22"/>
          <w:lang w:eastAsia="zh-CN"/>
        </w:rPr>
        <w:t>Moving to the actual content of the LS, we observe that t</w:t>
      </w:r>
      <w:r w:rsidR="00E1769B" w:rsidRPr="001D7DBB">
        <w:rPr>
          <w:sz w:val="22"/>
          <w:szCs w:val="22"/>
          <w:lang w:eastAsia="zh-CN"/>
        </w:rPr>
        <w:t>he initial issue discussed during RAN1 #115 is addressed by RAN2 according to the following paragraph</w:t>
      </w:r>
      <w:r w:rsidRPr="001D7DBB">
        <w:rPr>
          <w:sz w:val="22"/>
          <w:szCs w:val="22"/>
          <w:lang w:eastAsia="zh-CN"/>
        </w:rPr>
        <w:t>:</w:t>
      </w:r>
    </w:p>
    <w:tbl>
      <w:tblPr>
        <w:tblStyle w:val="TableGrid"/>
        <w:tblW w:w="0" w:type="auto"/>
        <w:jc w:val="center"/>
        <w:tblLook w:val="04A0" w:firstRow="1" w:lastRow="0" w:firstColumn="1" w:lastColumn="0" w:noHBand="0" w:noVBand="1"/>
      </w:tblPr>
      <w:tblGrid>
        <w:gridCol w:w="8144"/>
      </w:tblGrid>
      <w:tr w:rsidR="00E1769B" w14:paraId="59D62985" w14:textId="77777777" w:rsidTr="000466A7">
        <w:trPr>
          <w:trHeight w:val="1290"/>
          <w:jc w:val="center"/>
        </w:trPr>
        <w:tc>
          <w:tcPr>
            <w:tcW w:w="8144" w:type="dxa"/>
          </w:tcPr>
          <w:p w14:paraId="2EC1BF57" w14:textId="13D9854D" w:rsidR="00E1769B" w:rsidRPr="00E1769B" w:rsidRDefault="00E1769B" w:rsidP="00E1769B">
            <w:pPr>
              <w:rPr>
                <w:rFonts w:ascii="Arial" w:eastAsiaTheme="minorEastAsia" w:hAnsi="Arial" w:cs="Arial"/>
                <w:lang w:val="en-US" w:eastAsia="zh-CN"/>
              </w:rPr>
            </w:pPr>
            <w:r>
              <w:rPr>
                <w:rFonts w:ascii="Arial" w:eastAsiaTheme="minorEastAsia" w:hAnsi="Arial" w:cs="Arial"/>
                <w:lang w:val="en-US" w:eastAsia="zh-CN"/>
              </w:rPr>
              <w:t xml:space="preserve">RAN2 answer is that </w:t>
            </w:r>
            <w:r>
              <w:rPr>
                <w:rFonts w:ascii="Arial" w:eastAsiaTheme="minorEastAsia" w:hAnsi="Arial" w:cs="Arial" w:hint="eastAsia"/>
                <w:lang w:val="en-US" w:eastAsia="zh-CN"/>
              </w:rPr>
              <w:t>R</w:t>
            </w:r>
            <w:r>
              <w:rPr>
                <w:rFonts w:ascii="Arial" w:eastAsiaTheme="minorEastAsia" w:hAnsi="Arial" w:cs="Arial"/>
                <w:lang w:val="en-US" w:eastAsia="zh-CN"/>
              </w:rPr>
              <w:t>AN2 does not identify issues if the</w:t>
            </w:r>
            <w:r w:rsidRPr="00BE0501">
              <w:rPr>
                <w:rFonts w:ascii="Arial" w:eastAsiaTheme="minorEastAsia" w:hAnsi="Arial" w:cs="Arial"/>
                <w:lang w:val="en-US" w:eastAsia="zh-CN"/>
              </w:rPr>
              <w:t xml:space="preserve"> Rel-16 skipping UL transmission and</w:t>
            </w:r>
            <w:r>
              <w:rPr>
                <w:rFonts w:ascii="Arial" w:eastAsiaTheme="minorEastAsia" w:hAnsi="Arial" w:cs="Arial"/>
                <w:lang w:val="en-US" w:eastAsia="zh-CN"/>
              </w:rPr>
              <w:t xml:space="preserve"> the</w:t>
            </w:r>
            <w:r w:rsidRPr="00BE0501">
              <w:rPr>
                <w:rFonts w:ascii="Arial" w:eastAsiaTheme="minorEastAsia" w:hAnsi="Arial" w:cs="Arial"/>
                <w:lang w:val="en-US" w:eastAsia="zh-CN"/>
              </w:rPr>
              <w:t xml:space="preserve"> Rel-17 TBoMS</w:t>
            </w:r>
            <w:r>
              <w:rPr>
                <w:rFonts w:ascii="Arial" w:eastAsiaTheme="minorEastAsia" w:hAnsi="Arial" w:cs="Arial"/>
                <w:lang w:val="en-US" w:eastAsia="zh-CN"/>
              </w:rPr>
              <w:t xml:space="preserve"> features are not configured at the same time to a UE. And RAN2 will add the following description in RRC spec</w:t>
            </w:r>
            <w:r>
              <w:rPr>
                <w:rFonts w:ascii="Arial" w:eastAsiaTheme="minorEastAsia" w:hAnsi="Arial" w:cs="Arial" w:hint="eastAsia"/>
                <w:lang w:val="en-US" w:eastAsia="zh-CN"/>
              </w:rPr>
              <w:t xml:space="preserve"> </w:t>
            </w:r>
            <w:r>
              <w:rPr>
                <w:rFonts w:ascii="Arial" w:eastAsiaTheme="minorEastAsia" w:hAnsi="Arial" w:cs="Arial"/>
                <w:lang w:val="en-US" w:eastAsia="zh-CN"/>
              </w:rPr>
              <w:t>to capture the agreement:</w:t>
            </w:r>
            <w:r w:rsidRPr="001B76C3">
              <w:rPr>
                <w:rFonts w:ascii="Arial" w:eastAsiaTheme="minorEastAsia" w:hAnsi="Arial" w:cs="Arial"/>
                <w:lang w:val="en-US" w:eastAsia="zh-CN"/>
              </w:rPr>
              <w:t xml:space="preserve"> “</w:t>
            </w:r>
            <w:r w:rsidRPr="001B76C3">
              <w:rPr>
                <w:rFonts w:ascii="Arial" w:eastAsiaTheme="minorEastAsia" w:hAnsi="Arial" w:cs="Arial"/>
                <w:lang w:eastAsia="zh-CN"/>
              </w:rPr>
              <w:t xml:space="preserve">If the UE is configured with </w:t>
            </w:r>
            <w:r w:rsidRPr="001B76C3">
              <w:rPr>
                <w:rFonts w:ascii="Arial" w:eastAsiaTheme="minorEastAsia" w:hAnsi="Arial" w:cs="Arial"/>
                <w:i/>
                <w:lang w:eastAsia="zh-CN"/>
              </w:rPr>
              <w:t>enhancedSkipUplinkTxDynamic</w:t>
            </w:r>
            <w:r w:rsidRPr="001B76C3">
              <w:rPr>
                <w:rFonts w:ascii="Arial" w:eastAsiaTheme="minorEastAsia" w:hAnsi="Arial" w:cs="Arial"/>
                <w:lang w:eastAsia="zh-CN"/>
              </w:rPr>
              <w:t xml:space="preserve"> or </w:t>
            </w:r>
            <w:r w:rsidRPr="001B76C3">
              <w:rPr>
                <w:rFonts w:ascii="Arial" w:eastAsiaTheme="minorEastAsia" w:hAnsi="Arial" w:cs="Arial"/>
                <w:i/>
                <w:lang w:eastAsia="zh-CN"/>
              </w:rPr>
              <w:t>enhancedSkipUplinkTxConfigured</w:t>
            </w:r>
            <w:r w:rsidRPr="001B76C3">
              <w:rPr>
                <w:rFonts w:ascii="Arial" w:eastAsiaTheme="minorEastAsia" w:hAnsi="Arial" w:cs="Arial"/>
                <w:lang w:eastAsia="zh-CN"/>
              </w:rPr>
              <w:t xml:space="preserve"> with value </w:t>
            </w:r>
            <w:r w:rsidRPr="001B76C3">
              <w:rPr>
                <w:rFonts w:ascii="Arial" w:eastAsiaTheme="minorEastAsia" w:hAnsi="Arial" w:cs="Arial"/>
                <w:i/>
                <w:lang w:eastAsia="zh-CN"/>
              </w:rPr>
              <w:t>true</w:t>
            </w:r>
            <w:r w:rsidRPr="001B76C3">
              <w:rPr>
                <w:rFonts w:ascii="Arial" w:eastAsiaTheme="minorEastAsia" w:hAnsi="Arial" w:cs="Arial"/>
                <w:lang w:eastAsia="zh-CN"/>
              </w:rPr>
              <w:t xml:space="preserve">, </w:t>
            </w:r>
            <w:r w:rsidRPr="001B76C3">
              <w:rPr>
                <w:rFonts w:ascii="Arial" w:eastAsiaTheme="minorEastAsia" w:hAnsi="Arial" w:cs="Arial"/>
                <w:i/>
                <w:lang w:eastAsia="zh-CN"/>
              </w:rPr>
              <w:t>numberOfSlotsTBoMS</w:t>
            </w:r>
            <w:r w:rsidRPr="001B76C3">
              <w:rPr>
                <w:rFonts w:ascii="Arial" w:eastAsiaTheme="minorEastAsia" w:hAnsi="Arial" w:cs="Arial"/>
                <w:lang w:eastAsia="zh-CN"/>
              </w:rPr>
              <w:t xml:space="preserve"> (as specified in TS 38.214, clause 6.1.2.1) is not configured</w:t>
            </w:r>
            <w:r w:rsidRPr="001B76C3">
              <w:rPr>
                <w:rFonts w:ascii="Arial" w:eastAsiaTheme="minorEastAsia" w:hAnsi="Arial" w:cs="Arial"/>
                <w:lang w:val="en-US" w:eastAsia="zh-CN"/>
              </w:rPr>
              <w:t>”</w:t>
            </w:r>
            <w:r>
              <w:rPr>
                <w:rFonts w:ascii="Arial" w:eastAsiaTheme="minorEastAsia" w:hAnsi="Arial" w:cs="Arial"/>
                <w:lang w:val="en-US" w:eastAsia="zh-CN"/>
              </w:rPr>
              <w:t>.</w:t>
            </w:r>
          </w:p>
        </w:tc>
      </w:tr>
    </w:tbl>
    <w:p w14:paraId="7CC37FE5" w14:textId="7EBB853F" w:rsidR="007E6207" w:rsidRPr="001D7DBB" w:rsidRDefault="007E6207" w:rsidP="00E1769B">
      <w:pPr>
        <w:spacing w:before="120"/>
        <w:rPr>
          <w:sz w:val="22"/>
          <w:szCs w:val="22"/>
          <w:lang w:eastAsia="zh-CN"/>
        </w:rPr>
      </w:pPr>
      <w:r w:rsidRPr="001D7DBB">
        <w:rPr>
          <w:sz w:val="22"/>
          <w:szCs w:val="22"/>
          <w:lang w:eastAsia="zh-CN"/>
        </w:rPr>
        <w:t xml:space="preserve">From our perspective, </w:t>
      </w:r>
      <w:r w:rsidR="000466A7" w:rsidRPr="001D7DBB">
        <w:rPr>
          <w:sz w:val="22"/>
          <w:szCs w:val="22"/>
          <w:lang w:eastAsia="zh-CN"/>
        </w:rPr>
        <w:t>the above is consistent with the corresponding agreement made in RAN1 #115:</w:t>
      </w:r>
    </w:p>
    <w:tbl>
      <w:tblPr>
        <w:tblStyle w:val="TableGrid"/>
        <w:tblW w:w="0" w:type="auto"/>
        <w:jc w:val="center"/>
        <w:tblLook w:val="04A0" w:firstRow="1" w:lastRow="0" w:firstColumn="1" w:lastColumn="0" w:noHBand="0" w:noVBand="1"/>
      </w:tblPr>
      <w:tblGrid>
        <w:gridCol w:w="8144"/>
      </w:tblGrid>
      <w:tr w:rsidR="000466A7" w14:paraId="00C30890" w14:textId="77777777" w:rsidTr="000466A7">
        <w:trPr>
          <w:trHeight w:val="3238"/>
          <w:jc w:val="center"/>
        </w:trPr>
        <w:tc>
          <w:tcPr>
            <w:tcW w:w="8144" w:type="dxa"/>
          </w:tcPr>
          <w:p w14:paraId="63D81522" w14:textId="77777777" w:rsidR="000466A7" w:rsidRPr="00254A07" w:rsidRDefault="000466A7" w:rsidP="000466A7">
            <w:pPr>
              <w:rPr>
                <w:iCs/>
                <w:highlight w:val="green"/>
                <w:lang w:eastAsia="zh-CN"/>
              </w:rPr>
            </w:pPr>
            <w:r w:rsidRPr="00254A07">
              <w:rPr>
                <w:b/>
                <w:iCs/>
                <w:highlight w:val="green"/>
                <w:lang w:eastAsia="zh-CN"/>
              </w:rPr>
              <w:t>Agreement</w:t>
            </w:r>
          </w:p>
          <w:p w14:paraId="73AFA266" w14:textId="77777777" w:rsidR="000466A7" w:rsidRPr="00254A07" w:rsidRDefault="000466A7" w:rsidP="000466A7">
            <w:pPr>
              <w:rPr>
                <w:iCs/>
                <w:lang w:eastAsia="zh-CN"/>
              </w:rPr>
            </w:pPr>
            <w:r w:rsidRPr="00254A07">
              <w:rPr>
                <w:iCs/>
                <w:lang w:eastAsia="zh-CN"/>
              </w:rPr>
              <w:t xml:space="preserve">The case where both Rel-16 skipping UL transmission and Rel-17 TBoMS is enabled to a UE is not supported in Rel-17. </w:t>
            </w:r>
          </w:p>
          <w:p w14:paraId="33F61638" w14:textId="77777777" w:rsidR="000466A7" w:rsidRDefault="000466A7" w:rsidP="000466A7">
            <w:pPr>
              <w:rPr>
                <w:iCs/>
                <w:lang w:eastAsia="zh-CN"/>
              </w:rPr>
            </w:pPr>
            <w:r w:rsidRPr="00254A07">
              <w:rPr>
                <w:iCs/>
                <w:lang w:eastAsia="zh-CN"/>
              </w:rPr>
              <w:t>With respect to potential specification impact</w:t>
            </w:r>
          </w:p>
          <w:p w14:paraId="02BF433B" w14:textId="77777777" w:rsidR="000466A7" w:rsidRPr="00022A35" w:rsidRDefault="000466A7" w:rsidP="000466A7">
            <w:pPr>
              <w:pStyle w:val="ListParagraph"/>
              <w:numPr>
                <w:ilvl w:val="0"/>
                <w:numId w:val="36"/>
              </w:numPr>
              <w:spacing w:line="259" w:lineRule="auto"/>
              <w:ind w:left="440" w:hanging="440"/>
              <w:contextualSpacing w:val="0"/>
              <w:rPr>
                <w:iCs/>
              </w:rPr>
            </w:pPr>
            <w:r w:rsidRPr="00022A35">
              <w:rPr>
                <w:rFonts w:hint="eastAsia"/>
                <w:iCs/>
              </w:rPr>
              <w:t>A</w:t>
            </w:r>
            <w:r w:rsidRPr="00022A35">
              <w:rPr>
                <w:iCs/>
              </w:rPr>
              <w:t>lt 1: The two features are not configured at the same time to a UE.</w:t>
            </w:r>
          </w:p>
          <w:p w14:paraId="7E82DC96" w14:textId="77777777" w:rsidR="000466A7" w:rsidRDefault="000466A7" w:rsidP="000466A7">
            <w:pPr>
              <w:pStyle w:val="ListParagraph"/>
              <w:numPr>
                <w:ilvl w:val="0"/>
                <w:numId w:val="36"/>
              </w:numPr>
              <w:spacing w:line="259" w:lineRule="auto"/>
              <w:ind w:left="440" w:hanging="440"/>
              <w:contextualSpacing w:val="0"/>
              <w:rPr>
                <w:iCs/>
              </w:rPr>
            </w:pPr>
            <w:r w:rsidRPr="00022A35">
              <w:rPr>
                <w:iCs/>
              </w:rPr>
              <w:t xml:space="preserve">Send a LS to RAN2 requesting </w:t>
            </w:r>
            <w:r>
              <w:rPr>
                <w:iCs/>
              </w:rPr>
              <w:t>the following</w:t>
            </w:r>
          </w:p>
          <w:p w14:paraId="7D55627F" w14:textId="77777777" w:rsidR="000466A7" w:rsidRDefault="000466A7" w:rsidP="000466A7">
            <w:pPr>
              <w:pStyle w:val="ListParagraph"/>
              <w:numPr>
                <w:ilvl w:val="1"/>
                <w:numId w:val="36"/>
              </w:numPr>
              <w:spacing w:line="259" w:lineRule="auto"/>
              <w:contextualSpacing w:val="0"/>
              <w:rPr>
                <w:iCs/>
              </w:rPr>
            </w:pPr>
            <w:r>
              <w:rPr>
                <w:iCs/>
              </w:rPr>
              <w:t>Check if there is any issue identified from RAN2 point of view on Alt1</w:t>
            </w:r>
          </w:p>
          <w:p w14:paraId="4FB0AA95" w14:textId="77777777" w:rsidR="000466A7" w:rsidRDefault="000466A7" w:rsidP="000466A7">
            <w:pPr>
              <w:pStyle w:val="ListParagraph"/>
              <w:numPr>
                <w:ilvl w:val="1"/>
                <w:numId w:val="36"/>
              </w:numPr>
              <w:spacing w:line="259" w:lineRule="auto"/>
              <w:contextualSpacing w:val="0"/>
              <w:rPr>
                <w:iCs/>
              </w:rPr>
            </w:pPr>
            <w:r w:rsidRPr="00022A35">
              <w:rPr>
                <w:iCs/>
              </w:rPr>
              <w:t xml:space="preserve">Clarification on the relationship between the </w:t>
            </w:r>
            <w:r>
              <w:rPr>
                <w:iCs/>
              </w:rPr>
              <w:t>higher layer</w:t>
            </w:r>
            <w:r w:rsidRPr="00022A35">
              <w:rPr>
                <w:iCs/>
              </w:rPr>
              <w:t xml:space="preserve"> parameter REPETITION_NUMBER specified in clause 5.4.2.1 of TS 38.321 and the number of slots scheduled for a TBoMS PUSCH specified in clause 6.1.2.1 of TS 38.214.</w:t>
            </w:r>
          </w:p>
          <w:p w14:paraId="6933BC13" w14:textId="193E10D6" w:rsidR="000466A7" w:rsidRPr="000466A7" w:rsidRDefault="000466A7" w:rsidP="000466A7">
            <w:pPr>
              <w:pStyle w:val="ListParagraph"/>
              <w:ind w:left="0"/>
              <w:rPr>
                <w:iCs/>
                <w:highlight w:val="green"/>
              </w:rPr>
            </w:pPr>
            <w:r w:rsidRPr="005454D0">
              <w:rPr>
                <w:iCs/>
                <w:highlight w:val="green"/>
              </w:rPr>
              <w:t>LS to RAN2 is agreed (R1-2312651)</w:t>
            </w:r>
          </w:p>
        </w:tc>
      </w:tr>
    </w:tbl>
    <w:p w14:paraId="75A30FEE" w14:textId="77777777" w:rsidR="000466A7" w:rsidRDefault="000466A7" w:rsidP="00E1769B">
      <w:pPr>
        <w:spacing w:before="120"/>
        <w:rPr>
          <w:lang w:eastAsia="zh-CN"/>
        </w:rPr>
      </w:pPr>
    </w:p>
    <w:p w14:paraId="29B7C18C" w14:textId="5F8C00EB" w:rsidR="000466A7" w:rsidRPr="001D7DBB" w:rsidRDefault="000466A7" w:rsidP="003C2014">
      <w:pPr>
        <w:spacing w:afterLines="50" w:after="120"/>
        <w:jc w:val="both"/>
        <w:rPr>
          <w:sz w:val="22"/>
          <w:szCs w:val="22"/>
        </w:rPr>
      </w:pPr>
      <w:r w:rsidRPr="001D7DBB">
        <w:rPr>
          <w:sz w:val="22"/>
          <w:szCs w:val="22"/>
        </w:rPr>
        <w:t>I</w:t>
      </w:r>
      <w:r w:rsidR="003C2014" w:rsidRPr="001D7DBB">
        <w:rPr>
          <w:sz w:val="22"/>
          <w:szCs w:val="22"/>
        </w:rPr>
        <w:t xml:space="preserve">n the </w:t>
      </w:r>
      <w:r w:rsidR="001646DF" w:rsidRPr="001D7DBB">
        <w:rPr>
          <w:sz w:val="22"/>
          <w:szCs w:val="22"/>
        </w:rPr>
        <w:t>subsequent paragraph</w:t>
      </w:r>
      <w:r w:rsidR="003C2014" w:rsidRPr="001D7DBB">
        <w:rPr>
          <w:sz w:val="22"/>
          <w:szCs w:val="22"/>
        </w:rPr>
        <w:t>, RAN2 mention the following:</w:t>
      </w:r>
    </w:p>
    <w:tbl>
      <w:tblPr>
        <w:tblStyle w:val="TableGrid"/>
        <w:tblW w:w="0" w:type="auto"/>
        <w:jc w:val="center"/>
        <w:tblLook w:val="04A0" w:firstRow="1" w:lastRow="0" w:firstColumn="1" w:lastColumn="0" w:noHBand="0" w:noVBand="1"/>
      </w:tblPr>
      <w:tblGrid>
        <w:gridCol w:w="8187"/>
      </w:tblGrid>
      <w:tr w:rsidR="003C2014" w14:paraId="205C254C" w14:textId="77777777" w:rsidTr="000466A7">
        <w:trPr>
          <w:trHeight w:val="1582"/>
          <w:jc w:val="center"/>
        </w:trPr>
        <w:tc>
          <w:tcPr>
            <w:tcW w:w="8187" w:type="dxa"/>
          </w:tcPr>
          <w:p w14:paraId="4E79591A" w14:textId="1D551529" w:rsidR="003C2014" w:rsidRDefault="003C2014" w:rsidP="000466A7">
            <w:pPr>
              <w:spacing w:afterLines="50" w:after="120"/>
              <w:rPr>
                <w:rFonts w:ascii="Arial" w:eastAsia="Yu Mincho" w:hAnsi="Arial" w:cs="Arial"/>
                <w:bCs/>
                <w:iCs/>
                <w:lang w:val="en-US" w:eastAsia="ja-JP"/>
              </w:rPr>
            </w:pPr>
            <w:r>
              <w:rPr>
                <w:rFonts w:ascii="Arial" w:eastAsiaTheme="minorEastAsia" w:hAnsi="Arial" w:cs="Arial"/>
                <w:lang w:val="en-US" w:eastAsia="zh-CN"/>
              </w:rPr>
              <w:t xml:space="preserve">In addition, RAN1 asked RAN2 to clarify the relationship between the higher layer parameter REPETITION_NUMBER specified in clause 5.4.2.1 of TS 38.321 and the number of slots scheduled for a TBoMS PUSCH specified in clause 6.1.2.1 of TS 38.214. RAN2 clarification is that the higher layer parameter REPETITION_NUMBER is “the number of repetitions K” for a TBoMS PUSCH as described in clause 6.1.2.1 of TS 38.214 and has no relation to the number of slots used for TBS determination N given by </w:t>
            </w:r>
            <w:r>
              <w:rPr>
                <w:rFonts w:ascii="Arial" w:eastAsiaTheme="minorEastAsia" w:hAnsi="Arial" w:cs="Arial"/>
                <w:i/>
                <w:iCs/>
                <w:lang w:val="en-US" w:eastAsia="zh-CN"/>
              </w:rPr>
              <w:t>numberOfSlotsTBoMS</w:t>
            </w:r>
          </w:p>
        </w:tc>
      </w:tr>
    </w:tbl>
    <w:p w14:paraId="0A0F88D7" w14:textId="77777777" w:rsidR="003C2014" w:rsidRDefault="003C2014" w:rsidP="003C2014">
      <w:pPr>
        <w:spacing w:afterLines="50" w:after="120"/>
        <w:jc w:val="both"/>
        <w:rPr>
          <w:rFonts w:ascii="Arial" w:eastAsia="Yu Mincho" w:hAnsi="Arial" w:cs="Arial"/>
          <w:bCs/>
          <w:iCs/>
          <w:lang w:val="en-US" w:eastAsia="ja-JP"/>
        </w:rPr>
      </w:pPr>
    </w:p>
    <w:p w14:paraId="11014460" w14:textId="195A6ED8" w:rsidR="003C2014" w:rsidRPr="001D7DBB" w:rsidRDefault="000466A7" w:rsidP="003C2014">
      <w:pPr>
        <w:spacing w:afterLines="50" w:after="120"/>
        <w:jc w:val="both"/>
        <w:rPr>
          <w:sz w:val="22"/>
          <w:szCs w:val="22"/>
        </w:rPr>
      </w:pPr>
      <w:r w:rsidRPr="001D7DBB">
        <w:rPr>
          <w:sz w:val="22"/>
          <w:szCs w:val="22"/>
        </w:rPr>
        <w:lastRenderedPageBreak/>
        <w:t>Now</w:t>
      </w:r>
      <w:r w:rsidR="003C2014" w:rsidRPr="001D7DBB">
        <w:rPr>
          <w:sz w:val="22"/>
          <w:szCs w:val="22"/>
        </w:rPr>
        <w:t xml:space="preserve">, </w:t>
      </w:r>
      <w:r w:rsidR="001D7DBB" w:rsidRPr="001D7DBB">
        <w:rPr>
          <w:sz w:val="22"/>
          <w:szCs w:val="22"/>
        </w:rPr>
        <w:t>if we check</w:t>
      </w:r>
      <w:r w:rsidR="003C2014" w:rsidRPr="001D7DBB">
        <w:rPr>
          <w:sz w:val="22"/>
          <w:szCs w:val="22"/>
        </w:rPr>
        <w:t xml:space="preserve"> TS 38.321, Section 5.4.2.1, </w:t>
      </w:r>
      <w:r w:rsidR="001D7DBB" w:rsidRPr="001D7DBB">
        <w:rPr>
          <w:sz w:val="22"/>
          <w:szCs w:val="22"/>
        </w:rPr>
        <w:t xml:space="preserve">we note that </w:t>
      </w:r>
      <w:r w:rsidR="003C2014" w:rsidRPr="001D7DBB">
        <w:rPr>
          <w:sz w:val="22"/>
          <w:szCs w:val="22"/>
        </w:rPr>
        <w:t xml:space="preserve">the </w:t>
      </w:r>
      <w:r w:rsidR="001D7DBB" w:rsidRPr="001D7DBB">
        <w:rPr>
          <w:sz w:val="22"/>
          <w:szCs w:val="22"/>
        </w:rPr>
        <w:t xml:space="preserve">role of the </w:t>
      </w:r>
      <w:r w:rsidR="003C2014" w:rsidRPr="001D7DBB">
        <w:rPr>
          <w:sz w:val="22"/>
          <w:szCs w:val="22"/>
        </w:rPr>
        <w:t xml:space="preserve">higher layer </w:t>
      </w:r>
      <w:r w:rsidR="001D7DBB">
        <w:rPr>
          <w:sz w:val="22"/>
          <w:szCs w:val="22"/>
        </w:rPr>
        <w:t>parameter</w:t>
      </w:r>
      <w:r w:rsidR="003C2014" w:rsidRPr="001D7DBB">
        <w:rPr>
          <w:sz w:val="22"/>
          <w:szCs w:val="22"/>
        </w:rPr>
        <w:t xml:space="preserve"> REPETITION_NUMBER</w:t>
      </w:r>
      <w:r w:rsidR="001D7DBB" w:rsidRPr="001D7DBB">
        <w:rPr>
          <w:sz w:val="22"/>
          <w:szCs w:val="22"/>
        </w:rPr>
        <w:t>, and its implications for L1 operations is described as follows:</w:t>
      </w:r>
      <w:r w:rsidR="003C2014" w:rsidRPr="001D7DBB">
        <w:rPr>
          <w:sz w:val="22"/>
          <w:szCs w:val="22"/>
        </w:rPr>
        <w:t xml:space="preserve"> </w:t>
      </w:r>
    </w:p>
    <w:tbl>
      <w:tblPr>
        <w:tblStyle w:val="TableGrid"/>
        <w:tblW w:w="0" w:type="auto"/>
        <w:tblLook w:val="04A0" w:firstRow="1" w:lastRow="0" w:firstColumn="1" w:lastColumn="0" w:noHBand="0" w:noVBand="1"/>
      </w:tblPr>
      <w:tblGrid>
        <w:gridCol w:w="9629"/>
      </w:tblGrid>
      <w:tr w:rsidR="003C2014" w14:paraId="2CB667AB" w14:textId="77777777" w:rsidTr="0074656C">
        <w:tc>
          <w:tcPr>
            <w:tcW w:w="9855" w:type="dxa"/>
          </w:tcPr>
          <w:p w14:paraId="78A8C70D" w14:textId="77777777" w:rsidR="003C2014" w:rsidRDefault="003C2014" w:rsidP="0074656C">
            <w:pPr>
              <w:spacing w:afterLines="50" w:after="120"/>
              <w:jc w:val="both"/>
              <w:rPr>
                <w:rFonts w:ascii="Arial" w:hAnsi="Arial" w:cs="Arial"/>
              </w:rPr>
            </w:pPr>
            <w:r w:rsidRPr="00C21AE0">
              <w:rPr>
                <w:rFonts w:ascii="Arial" w:hAnsi="Arial" w:cs="Arial"/>
                <w:highlight w:val="yellow"/>
              </w:rPr>
              <w:t>The maximum number of transmissions of a TB within a bundle of the dynamic grant or configured grant or the uplink grant received in a MAC RAR is given by REPETITION_NUMBER</w:t>
            </w:r>
            <w:r w:rsidRPr="00C21AE0">
              <w:rPr>
                <w:rFonts w:ascii="Arial" w:hAnsi="Arial" w:cs="Arial"/>
              </w:rPr>
              <w:t xml:space="preserve"> as follows: </w:t>
            </w:r>
          </w:p>
          <w:p w14:paraId="7DE9360E" w14:textId="77777777" w:rsidR="003C2014" w:rsidRDefault="003C2014" w:rsidP="0074656C">
            <w:pPr>
              <w:spacing w:afterLines="50" w:after="120"/>
              <w:ind w:left="452"/>
              <w:jc w:val="both"/>
              <w:rPr>
                <w:rFonts w:ascii="Arial" w:hAnsi="Arial" w:cs="Arial"/>
              </w:rPr>
            </w:pPr>
            <w:r w:rsidRPr="00C21AE0">
              <w:rPr>
                <w:rFonts w:ascii="Arial" w:hAnsi="Arial" w:cs="Arial"/>
              </w:rPr>
              <w:t>- For a dynamic grant, REPETITION_NUMBER is set to a value provided by lower layers, as specified in clause 6.1.2.1 of TS 38.214 [7</w:t>
            </w:r>
            <w:proofErr w:type="gramStart"/>
            <w:r w:rsidRPr="00C21AE0">
              <w:rPr>
                <w:rFonts w:ascii="Arial" w:hAnsi="Arial" w:cs="Arial"/>
              </w:rPr>
              <w:t>];</w:t>
            </w:r>
            <w:proofErr w:type="gramEnd"/>
            <w:r w:rsidRPr="00C21AE0">
              <w:rPr>
                <w:rFonts w:ascii="Arial" w:hAnsi="Arial" w:cs="Arial"/>
              </w:rPr>
              <w:t xml:space="preserve"> </w:t>
            </w:r>
          </w:p>
          <w:p w14:paraId="76CBAC7F" w14:textId="77777777" w:rsidR="003C2014" w:rsidRDefault="003C2014" w:rsidP="0074656C">
            <w:pPr>
              <w:spacing w:afterLines="50" w:after="120"/>
              <w:ind w:left="452"/>
              <w:jc w:val="both"/>
              <w:rPr>
                <w:rFonts w:ascii="Arial" w:hAnsi="Arial" w:cs="Arial"/>
              </w:rPr>
            </w:pPr>
            <w:r w:rsidRPr="00C21AE0">
              <w:rPr>
                <w:rFonts w:ascii="Arial" w:hAnsi="Arial" w:cs="Arial"/>
              </w:rPr>
              <w:t>- For a configured grant, REPETITION_NUMBER is set to a value provided by lower layers, as specified in clause 6.1.2.3 of TS 38.214 [7</w:t>
            </w:r>
            <w:proofErr w:type="gramStart"/>
            <w:r w:rsidRPr="00C21AE0">
              <w:rPr>
                <w:rFonts w:ascii="Arial" w:hAnsi="Arial" w:cs="Arial"/>
              </w:rPr>
              <w:t>];</w:t>
            </w:r>
            <w:proofErr w:type="gramEnd"/>
            <w:r w:rsidRPr="00C21AE0">
              <w:rPr>
                <w:rFonts w:ascii="Arial" w:hAnsi="Arial" w:cs="Arial"/>
              </w:rPr>
              <w:t xml:space="preserve"> </w:t>
            </w:r>
          </w:p>
          <w:p w14:paraId="3E7D936B" w14:textId="1951A0BE" w:rsidR="000466A7" w:rsidRPr="000466A7" w:rsidRDefault="003C2014" w:rsidP="000466A7">
            <w:pPr>
              <w:spacing w:afterLines="50" w:after="120"/>
              <w:ind w:left="452"/>
              <w:jc w:val="both"/>
              <w:rPr>
                <w:rFonts w:ascii="Arial" w:hAnsi="Arial" w:cs="Arial"/>
              </w:rPr>
            </w:pPr>
            <w:r w:rsidRPr="00C21AE0">
              <w:rPr>
                <w:rFonts w:ascii="Arial" w:hAnsi="Arial" w:cs="Arial"/>
              </w:rPr>
              <w:t>- For an uplink grant received in a MAC RAR, REPETITION_NUMBER is set to a value provided by lower layers, as specified in clause 6.1.2.1 of TS 38.214 [7].</w:t>
            </w:r>
          </w:p>
          <w:p w14:paraId="7EA57640" w14:textId="205689AE" w:rsidR="000466A7" w:rsidRPr="000466A7" w:rsidRDefault="000466A7" w:rsidP="000466A7">
            <w:pPr>
              <w:spacing w:afterLines="50" w:after="120"/>
              <w:jc w:val="both"/>
              <w:rPr>
                <w:rFonts w:ascii="Arial" w:hAnsi="Arial" w:cs="Arial"/>
              </w:rPr>
            </w:pPr>
            <w:r w:rsidRPr="000466A7">
              <w:rPr>
                <w:rFonts w:ascii="Arial" w:hAnsi="Arial" w:cs="Arial"/>
              </w:rPr>
              <w:t>If REPETITION_NUMBER &gt; 1, after the first transmission within a bundle, at most REPETITION_NUMBER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REPETITION_NUMBER for a dynamic grant or configured uplink grant or uplink grant received in a MAC RAR unless they are terminated as specified in clause 6.1 of TS 38.214 [7]. Each transmission within a bundle is a separate uplink grant delivered to the HARQ entity</w:t>
            </w:r>
            <w:r w:rsidRPr="000466A7">
              <w:rPr>
                <w:rFonts w:ascii="Arial" w:hAnsi="Arial" w:cs="Arial"/>
                <w:highlight w:val="yellow"/>
              </w:rPr>
              <w:t>. 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tc>
      </w:tr>
    </w:tbl>
    <w:p w14:paraId="6CB3CCAE" w14:textId="77777777" w:rsidR="003C2014" w:rsidRDefault="003C2014" w:rsidP="003C2014">
      <w:pPr>
        <w:spacing w:afterLines="50" w:after="120"/>
        <w:jc w:val="both"/>
        <w:rPr>
          <w:rFonts w:ascii="Arial" w:eastAsia="Yu Mincho" w:hAnsi="Arial" w:cs="Arial"/>
          <w:bCs/>
          <w:iCs/>
          <w:lang w:val="en-US" w:eastAsia="ja-JP"/>
        </w:rPr>
      </w:pPr>
    </w:p>
    <w:p w14:paraId="48C02CF1" w14:textId="670DE82F" w:rsidR="003C2014" w:rsidRPr="001D7DBB" w:rsidRDefault="003C2014" w:rsidP="003C2014">
      <w:pPr>
        <w:spacing w:afterLines="50" w:after="120"/>
        <w:jc w:val="both"/>
        <w:rPr>
          <w:sz w:val="22"/>
          <w:szCs w:val="22"/>
        </w:rPr>
      </w:pPr>
      <w:r w:rsidRPr="001D7DBB">
        <w:rPr>
          <w:sz w:val="22"/>
          <w:szCs w:val="22"/>
        </w:rPr>
        <w:t xml:space="preserve">From the above highlighted text, </w:t>
      </w:r>
      <w:r w:rsidR="000466A7" w:rsidRPr="001D7DBB">
        <w:rPr>
          <w:sz w:val="22"/>
          <w:szCs w:val="22"/>
        </w:rPr>
        <w:t>the</w:t>
      </w:r>
      <w:r w:rsidRPr="001D7DBB">
        <w:rPr>
          <w:sz w:val="22"/>
          <w:szCs w:val="22"/>
        </w:rPr>
        <w:t xml:space="preserve"> REPETITION_NUMBER </w:t>
      </w:r>
      <w:r w:rsidR="001D7DBB">
        <w:rPr>
          <w:sz w:val="22"/>
          <w:szCs w:val="22"/>
        </w:rPr>
        <w:t>parameter</w:t>
      </w:r>
      <w:r w:rsidR="001D7DBB" w:rsidRPr="001D7DBB">
        <w:rPr>
          <w:sz w:val="22"/>
          <w:szCs w:val="22"/>
        </w:rPr>
        <w:t xml:space="preserve"> in TS 38.321 </w:t>
      </w:r>
      <w:r w:rsidR="000466A7" w:rsidRPr="001D7DBB">
        <w:rPr>
          <w:sz w:val="22"/>
          <w:szCs w:val="22"/>
        </w:rPr>
        <w:t xml:space="preserve">is </w:t>
      </w:r>
      <w:r w:rsidR="001D7DBB" w:rsidRPr="001D7DBB">
        <w:rPr>
          <w:sz w:val="22"/>
          <w:szCs w:val="22"/>
        </w:rPr>
        <w:t xml:space="preserve">to </w:t>
      </w:r>
      <w:r w:rsidR="000466A7" w:rsidRPr="001D7DBB">
        <w:rPr>
          <w:sz w:val="22"/>
          <w:szCs w:val="22"/>
        </w:rPr>
        <w:t xml:space="preserve">be understood </w:t>
      </w:r>
      <w:r w:rsidRPr="001D7DBB">
        <w:rPr>
          <w:sz w:val="22"/>
          <w:szCs w:val="22"/>
        </w:rPr>
        <w:t>as “</w:t>
      </w:r>
      <w:r w:rsidRPr="001D7DBB">
        <w:rPr>
          <w:sz w:val="22"/>
          <w:szCs w:val="22"/>
          <w:u w:val="single"/>
        </w:rPr>
        <w:t>the number of repetitions K</w:t>
      </w:r>
      <w:r w:rsidR="000466A7" w:rsidRPr="001D7DBB">
        <w:rPr>
          <w:sz w:val="22"/>
          <w:szCs w:val="22"/>
          <w:u w:val="single"/>
        </w:rPr>
        <w:t xml:space="preserve"> of this TB</w:t>
      </w:r>
      <w:r w:rsidRPr="001D7DBB">
        <w:rPr>
          <w:sz w:val="22"/>
          <w:szCs w:val="22"/>
        </w:rPr>
        <w:t>”</w:t>
      </w:r>
      <w:r w:rsidR="000466A7" w:rsidRPr="001D7DBB">
        <w:rPr>
          <w:sz w:val="22"/>
          <w:szCs w:val="22"/>
        </w:rPr>
        <w:t xml:space="preserve"> or, equivalently, as the “</w:t>
      </w:r>
      <w:r w:rsidR="000466A7" w:rsidRPr="001D7DBB">
        <w:rPr>
          <w:sz w:val="22"/>
          <w:szCs w:val="22"/>
          <w:u w:val="single"/>
        </w:rPr>
        <w:t>the number of RV values considered for the transmission of this TB</w:t>
      </w:r>
      <w:r w:rsidR="000466A7" w:rsidRPr="001D7DBB">
        <w:rPr>
          <w:sz w:val="22"/>
          <w:szCs w:val="22"/>
        </w:rPr>
        <w:t>”. I</w:t>
      </w:r>
      <w:r w:rsidRPr="001D7DBB">
        <w:rPr>
          <w:sz w:val="22"/>
          <w:szCs w:val="22"/>
        </w:rPr>
        <w:t xml:space="preserve">n case K=1, this </w:t>
      </w:r>
      <w:r w:rsidR="000466A7" w:rsidRPr="001D7DBB">
        <w:rPr>
          <w:sz w:val="22"/>
          <w:szCs w:val="22"/>
        </w:rPr>
        <w:t>implies</w:t>
      </w:r>
      <w:r w:rsidRPr="001D7DBB">
        <w:rPr>
          <w:sz w:val="22"/>
          <w:szCs w:val="22"/>
        </w:rPr>
        <w:t xml:space="preserve"> that “the number of transmissions of </w:t>
      </w:r>
      <w:r w:rsidR="001D7DBB" w:rsidRPr="001D7DBB">
        <w:rPr>
          <w:sz w:val="22"/>
          <w:szCs w:val="22"/>
        </w:rPr>
        <w:t>the</w:t>
      </w:r>
      <w:r w:rsidRPr="001D7DBB">
        <w:rPr>
          <w:sz w:val="22"/>
          <w:szCs w:val="22"/>
        </w:rPr>
        <w:t xml:space="preserve"> TB” is equal to 1</w:t>
      </w:r>
      <w:r w:rsidR="000466A7" w:rsidRPr="001D7DBB">
        <w:rPr>
          <w:sz w:val="22"/>
          <w:szCs w:val="22"/>
        </w:rPr>
        <w:t xml:space="preserve"> and only one RV value is used for this transmission</w:t>
      </w:r>
      <w:r w:rsidRPr="001D7DBB">
        <w:rPr>
          <w:sz w:val="22"/>
          <w:szCs w:val="22"/>
        </w:rPr>
        <w:t xml:space="preserve">. </w:t>
      </w:r>
      <w:r w:rsidR="001D7DBB" w:rsidRPr="001D7DBB">
        <w:rPr>
          <w:sz w:val="22"/>
          <w:szCs w:val="22"/>
        </w:rPr>
        <w:t xml:space="preserve">In other words, the equivalence between the meaning and value of the MAC </w:t>
      </w:r>
      <w:r w:rsidR="001D7DBB">
        <w:rPr>
          <w:sz w:val="22"/>
          <w:szCs w:val="22"/>
        </w:rPr>
        <w:t>parameter</w:t>
      </w:r>
      <w:r w:rsidR="001D7DBB" w:rsidRPr="001D7DBB">
        <w:rPr>
          <w:sz w:val="22"/>
          <w:szCs w:val="22"/>
        </w:rPr>
        <w:t xml:space="preserve"> REPETITION_NUMBER and the RRC IE </w:t>
      </w:r>
      <w:r w:rsidR="001D7DBB" w:rsidRPr="001D7DBB">
        <w:rPr>
          <w:i/>
          <w:iCs/>
          <w:sz w:val="22"/>
          <w:szCs w:val="22"/>
        </w:rPr>
        <w:t>numberOfRepetitions</w:t>
      </w:r>
      <w:r w:rsidR="001D7DBB" w:rsidRPr="001D7DBB">
        <w:rPr>
          <w:sz w:val="22"/>
          <w:szCs w:val="22"/>
        </w:rPr>
        <w:t xml:space="preserve"> is respected for both PUSCH repetitions Type A and TBoMS. </w:t>
      </w:r>
    </w:p>
    <w:p w14:paraId="63416C75" w14:textId="129B42B5" w:rsidR="001D7DBB" w:rsidRPr="001D7DBB" w:rsidRDefault="001D7DBB" w:rsidP="003C2014">
      <w:pPr>
        <w:spacing w:afterLines="50" w:after="120"/>
        <w:jc w:val="both"/>
        <w:rPr>
          <w:sz w:val="22"/>
          <w:szCs w:val="22"/>
        </w:rPr>
      </w:pPr>
      <w:r w:rsidRPr="001D7DBB">
        <w:rPr>
          <w:sz w:val="22"/>
          <w:szCs w:val="22"/>
        </w:rPr>
        <w:t>In our view, this implies that no ambiguity exists from RAN1 perspective, based on RN2 LS reply, and no further actions from RAN1 is needed.</w:t>
      </w:r>
    </w:p>
    <w:p w14:paraId="4531A9B7" w14:textId="33C2BED7" w:rsidR="001D7DBB" w:rsidRDefault="001D7DBB" w:rsidP="001D7DBB">
      <w:pPr>
        <w:rPr>
          <w:b/>
        </w:rPr>
      </w:pPr>
      <w:r w:rsidRPr="00610EDF">
        <w:rPr>
          <w:b/>
        </w:rPr>
        <w:t xml:space="preserve">Proposal </w:t>
      </w:r>
      <w:r>
        <w:rPr>
          <w:b/>
        </w:rPr>
        <w:t>1</w:t>
      </w:r>
      <w:r w:rsidRPr="00610EDF">
        <w:rPr>
          <w:b/>
        </w:rPr>
        <w:t xml:space="preserve">. </w:t>
      </w:r>
      <w:r>
        <w:rPr>
          <w:b/>
        </w:rPr>
        <w:t xml:space="preserve">RAN1 to stop further discussion on </w:t>
      </w:r>
      <w:r w:rsidRPr="001D7DBB">
        <w:rPr>
          <w:b/>
        </w:rPr>
        <w:t>skipping UL transmission and R17 TBoMS</w:t>
      </w:r>
      <w:r>
        <w:rPr>
          <w:b/>
        </w:rPr>
        <w:t>.</w:t>
      </w:r>
    </w:p>
    <w:p w14:paraId="57C4CAC4" w14:textId="1E72BE1C" w:rsidR="001D7DBB" w:rsidRDefault="001D7DBB" w:rsidP="001D7DBB">
      <w:pPr>
        <w:rPr>
          <w:b/>
          <w:iCs/>
          <w:lang w:eastAsia="zh-CN"/>
        </w:rPr>
      </w:pPr>
      <w:r w:rsidRPr="00610EDF">
        <w:rPr>
          <w:b/>
        </w:rPr>
        <w:t xml:space="preserve">Proposal </w:t>
      </w:r>
      <w:r>
        <w:rPr>
          <w:b/>
        </w:rPr>
        <w:t>2</w:t>
      </w:r>
      <w:r w:rsidRPr="00610EDF">
        <w:rPr>
          <w:b/>
        </w:rPr>
        <w:t xml:space="preserve">. </w:t>
      </w:r>
      <w:r>
        <w:rPr>
          <w:b/>
        </w:rPr>
        <w:t xml:space="preserve">RAN1 to stop </w:t>
      </w:r>
      <w:r w:rsidRPr="001D7DBB">
        <w:rPr>
          <w:b/>
        </w:rPr>
        <w:t xml:space="preserve">further discussion on the </w:t>
      </w:r>
      <w:r w:rsidRPr="001D7DBB">
        <w:rPr>
          <w:b/>
          <w:iCs/>
          <w:lang w:eastAsia="zh-CN"/>
        </w:rPr>
        <w:t>relationship between the higher layer parameter REPETITION_NUMBER specified in clause 5.4.2.1 of TS 38.321 and the number of slots scheduled for a TBoMS PUSCH specified in clause 6.1.2.1 of TS 38.214</w:t>
      </w:r>
      <w:r>
        <w:rPr>
          <w:b/>
          <w:iCs/>
          <w:lang w:eastAsia="zh-CN"/>
        </w:rPr>
        <w:t>.</w:t>
      </w:r>
    </w:p>
    <w:p w14:paraId="623AE9CA" w14:textId="482D12DB" w:rsidR="00FF42F5" w:rsidRPr="001D7DBB" w:rsidRDefault="001D7DBB" w:rsidP="00743489">
      <w:pPr>
        <w:rPr>
          <w:b/>
        </w:rPr>
      </w:pPr>
      <w:r>
        <w:rPr>
          <w:b/>
          <w:iCs/>
          <w:lang w:eastAsia="zh-CN"/>
        </w:rPr>
        <w:t>Proposal 3. No further LS to RAN2 is needed.</w:t>
      </w:r>
    </w:p>
    <w:p w14:paraId="10445A01" w14:textId="7DCE7018" w:rsidR="00885580" w:rsidRPr="00FF3F81" w:rsidRDefault="007820D0" w:rsidP="00892E29">
      <w:pPr>
        <w:pStyle w:val="Heading1"/>
        <w:spacing w:line="276" w:lineRule="auto"/>
        <w:rPr>
          <w:lang w:val="en-US"/>
        </w:rPr>
      </w:pPr>
      <w:bookmarkStart w:id="4" w:name="_Toc67700564"/>
      <w:bookmarkEnd w:id="3"/>
      <w:r w:rsidRPr="00FF3F81">
        <w:rPr>
          <w:lang w:val="en-US"/>
        </w:rPr>
        <w:t>Conclusion</w:t>
      </w:r>
      <w:bookmarkEnd w:id="4"/>
    </w:p>
    <w:p w14:paraId="4DA34F91" w14:textId="72999C39" w:rsidR="0052777E" w:rsidRPr="001D7DBB" w:rsidRDefault="005E663E" w:rsidP="00A70A6A">
      <w:pPr>
        <w:pStyle w:val="Caption"/>
        <w:jc w:val="both"/>
        <w:rPr>
          <w:b w:val="0"/>
          <w:sz w:val="22"/>
          <w:szCs w:val="22"/>
        </w:rPr>
      </w:pPr>
      <w:r w:rsidRPr="001D7DBB">
        <w:rPr>
          <w:b w:val="0"/>
          <w:sz w:val="22"/>
          <w:szCs w:val="22"/>
        </w:rPr>
        <w:t xml:space="preserve">In this contribution we have </w:t>
      </w:r>
      <w:r w:rsidR="001D7DBB" w:rsidRPr="001D7DBB">
        <w:rPr>
          <w:b w:val="0"/>
          <w:sz w:val="22"/>
          <w:szCs w:val="22"/>
        </w:rPr>
        <w:t>analyzed the LS received from RAN2, i.e., R2-2401722, concerning skipping UL transmission and R17 TBoMS</w:t>
      </w:r>
      <w:r w:rsidR="0052777E" w:rsidRPr="001D7DBB">
        <w:rPr>
          <w:b w:val="0"/>
          <w:sz w:val="22"/>
          <w:szCs w:val="22"/>
        </w:rPr>
        <w:t xml:space="preserve">. </w:t>
      </w:r>
      <w:bookmarkStart w:id="5" w:name="_Toc67700565"/>
      <w:r w:rsidR="0052777E" w:rsidRPr="001D7DBB">
        <w:rPr>
          <w:b w:val="0"/>
          <w:sz w:val="22"/>
          <w:szCs w:val="22"/>
        </w:rPr>
        <w:t>The following proposals were made:</w:t>
      </w:r>
    </w:p>
    <w:p w14:paraId="082975F7" w14:textId="77777777" w:rsidR="001D7DBB" w:rsidRPr="001D7DBB" w:rsidRDefault="001D7DBB" w:rsidP="001D7DBB">
      <w:pPr>
        <w:rPr>
          <w:b/>
          <w:sz w:val="22"/>
          <w:szCs w:val="22"/>
        </w:rPr>
      </w:pPr>
      <w:r w:rsidRPr="001D7DBB">
        <w:rPr>
          <w:b/>
          <w:sz w:val="22"/>
          <w:szCs w:val="22"/>
        </w:rPr>
        <w:t>Proposal 1. RAN1 to stop further discussion on skipping UL transmission and R17 TBoMS.</w:t>
      </w:r>
    </w:p>
    <w:p w14:paraId="399F46BF" w14:textId="77777777" w:rsidR="001D7DBB" w:rsidRPr="001D7DBB" w:rsidRDefault="001D7DBB" w:rsidP="001D7DBB">
      <w:pPr>
        <w:rPr>
          <w:b/>
          <w:iCs/>
          <w:sz w:val="22"/>
          <w:szCs w:val="22"/>
          <w:lang w:eastAsia="zh-CN"/>
        </w:rPr>
      </w:pPr>
      <w:r w:rsidRPr="001D7DBB">
        <w:rPr>
          <w:b/>
          <w:sz w:val="22"/>
          <w:szCs w:val="22"/>
        </w:rPr>
        <w:t xml:space="preserve">Proposal 2. RAN1 to stop further discussion on the </w:t>
      </w:r>
      <w:r w:rsidRPr="001D7DBB">
        <w:rPr>
          <w:b/>
          <w:iCs/>
          <w:sz w:val="22"/>
          <w:szCs w:val="22"/>
          <w:lang w:eastAsia="zh-CN"/>
        </w:rPr>
        <w:t>relationship between the higher layer parameter REPETITION_NUMBER specified in clause 5.4.2.1 of TS 38.321 and the number of slots scheduled for a TBoMS PUSCH specified in clause 6.1.2.1 of TS 38.214.</w:t>
      </w:r>
    </w:p>
    <w:p w14:paraId="2E69D8D5" w14:textId="77777777" w:rsidR="001D7DBB" w:rsidRPr="001D7DBB" w:rsidRDefault="001D7DBB" w:rsidP="001D7DBB">
      <w:pPr>
        <w:rPr>
          <w:b/>
          <w:sz w:val="22"/>
          <w:szCs w:val="22"/>
        </w:rPr>
      </w:pPr>
      <w:r w:rsidRPr="001D7DBB">
        <w:rPr>
          <w:b/>
          <w:iCs/>
          <w:sz w:val="22"/>
          <w:szCs w:val="22"/>
          <w:lang w:eastAsia="zh-CN"/>
        </w:rPr>
        <w:t>Proposal 3. No further LS to RAN2 is needed.</w:t>
      </w: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5"/>
    </w:p>
    <w:p w14:paraId="5A8FC333" w14:textId="053C4E7E" w:rsidR="00FF42F5" w:rsidRPr="001D7DBB" w:rsidRDefault="001D7DBB" w:rsidP="001D7DBB">
      <w:pPr>
        <w:pStyle w:val="ListParagraph"/>
        <w:numPr>
          <w:ilvl w:val="0"/>
          <w:numId w:val="3"/>
        </w:numPr>
        <w:rPr>
          <w:szCs w:val="20"/>
          <w:lang w:val="en-US"/>
        </w:rPr>
      </w:pPr>
      <w:bookmarkStart w:id="6" w:name="_Ref109719781"/>
      <w:bookmarkStart w:id="7" w:name="_Ref86914900"/>
      <w:r>
        <w:rPr>
          <w:szCs w:val="20"/>
          <w:lang w:val="en-US"/>
        </w:rPr>
        <w:t>R2-2401722</w:t>
      </w:r>
      <w:r w:rsidR="009066B4">
        <w:rPr>
          <w:szCs w:val="20"/>
          <w:lang w:val="en-US"/>
        </w:rPr>
        <w:t xml:space="preserve"> </w:t>
      </w:r>
      <w:r w:rsidRPr="001D7DBB">
        <w:rPr>
          <w:rFonts w:hint="eastAsia"/>
          <w:szCs w:val="20"/>
          <w:lang w:val="en-US"/>
        </w:rPr>
        <w:t>R</w:t>
      </w:r>
      <w:r w:rsidRPr="001D7DBB">
        <w:rPr>
          <w:szCs w:val="20"/>
          <w:lang w:val="en-US"/>
        </w:rPr>
        <w:t>eply LS on skipping UL transmission and R17 TBoMS</w:t>
      </w:r>
      <w:r>
        <w:rPr>
          <w:szCs w:val="20"/>
          <w:lang w:val="en-US"/>
        </w:rPr>
        <w:t>, 3GPP RAN2</w:t>
      </w:r>
      <w:bookmarkEnd w:id="6"/>
      <w:bookmarkEnd w:id="7"/>
      <w:r>
        <w:rPr>
          <w:szCs w:val="20"/>
          <w:lang w:val="en-US"/>
        </w:rPr>
        <w:t>, Feb 2024</w:t>
      </w:r>
    </w:p>
    <w:sectPr w:rsidR="00FF42F5" w:rsidRPr="001D7D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EFA" w14:textId="77777777" w:rsidR="00AD3A8A" w:rsidRDefault="00AD3A8A">
      <w:r>
        <w:separator/>
      </w:r>
    </w:p>
  </w:endnote>
  <w:endnote w:type="continuationSeparator" w:id="0">
    <w:p w14:paraId="697ED820" w14:textId="77777777" w:rsidR="00AD3A8A" w:rsidRDefault="00AD3A8A">
      <w:r>
        <w:continuationSeparator/>
      </w:r>
    </w:p>
  </w:endnote>
  <w:endnote w:type="continuationNotice" w:id="1">
    <w:p w14:paraId="331A98A0"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8B33" w14:textId="77777777" w:rsidR="00AD3A8A" w:rsidRDefault="00AD3A8A">
      <w:r>
        <w:separator/>
      </w:r>
    </w:p>
  </w:footnote>
  <w:footnote w:type="continuationSeparator" w:id="0">
    <w:p w14:paraId="1F1B21BF" w14:textId="77777777" w:rsidR="00AD3A8A" w:rsidRDefault="00AD3A8A">
      <w:r>
        <w:continuationSeparator/>
      </w:r>
    </w:p>
  </w:footnote>
  <w:footnote w:type="continuationNotice" w:id="1">
    <w:p w14:paraId="331FA83F"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75CA3"/>
    <w:multiLevelType w:val="hybridMultilevel"/>
    <w:tmpl w:val="207EC6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9D4ACE"/>
    <w:multiLevelType w:val="hybridMultilevel"/>
    <w:tmpl w:val="B308D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13"/>
  </w:num>
  <w:num w:numId="2" w16cid:durableId="1976175196">
    <w:abstractNumId w:val="3"/>
  </w:num>
  <w:num w:numId="3" w16cid:durableId="1616908296">
    <w:abstractNumId w:val="7"/>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2"/>
  </w:num>
  <w:num w:numId="8" w16cid:durableId="628437452">
    <w:abstractNumId w:val="34"/>
  </w:num>
  <w:num w:numId="9" w16cid:durableId="518008053">
    <w:abstractNumId w:val="23"/>
  </w:num>
  <w:num w:numId="10" w16cid:durableId="1674800080">
    <w:abstractNumId w:val="31"/>
  </w:num>
  <w:num w:numId="11" w16cid:durableId="927470057">
    <w:abstractNumId w:val="16"/>
    <w:lvlOverride w:ilvl="0">
      <w:startOverride w:val="1"/>
    </w:lvlOverride>
  </w:num>
  <w:num w:numId="12" w16cid:durableId="1550190420">
    <w:abstractNumId w:val="27"/>
  </w:num>
  <w:num w:numId="13" w16cid:durableId="1088039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9"/>
  </w:num>
  <w:num w:numId="15" w16cid:durableId="381829555">
    <w:abstractNumId w:val="2"/>
  </w:num>
  <w:num w:numId="16" w16cid:durableId="2017077969">
    <w:abstractNumId w:val="30"/>
  </w:num>
  <w:num w:numId="17" w16cid:durableId="9379116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6"/>
    <w:lvlOverride w:ilvl="0">
      <w:startOverride w:val="1"/>
    </w:lvlOverride>
  </w:num>
  <w:num w:numId="19" w16cid:durableId="2084331164">
    <w:abstractNumId w:val="32"/>
  </w:num>
  <w:num w:numId="20" w16cid:durableId="1575814434">
    <w:abstractNumId w:val="19"/>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1"/>
  </w:num>
  <w:num w:numId="22" w16cid:durableId="1593511077">
    <w:abstractNumId w:val="12"/>
  </w:num>
  <w:num w:numId="23" w16cid:durableId="1350981926">
    <w:abstractNumId w:val="8"/>
  </w:num>
  <w:num w:numId="24" w16cid:durableId="167440696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5"/>
  </w:num>
  <w:num w:numId="26" w16cid:durableId="1405033113">
    <w:abstractNumId w:val="1"/>
  </w:num>
  <w:num w:numId="27" w16cid:durableId="161894390">
    <w:abstractNumId w:val="10"/>
  </w:num>
  <w:num w:numId="28" w16cid:durableId="630749506">
    <w:abstractNumId w:val="24"/>
    <w:lvlOverride w:ilvl="0"/>
    <w:lvlOverride w:ilvl="1"/>
    <w:lvlOverride w:ilvl="2">
      <w:startOverride w:val="1"/>
    </w:lvlOverride>
    <w:lvlOverride w:ilvl="3"/>
    <w:lvlOverride w:ilvl="4"/>
    <w:lvlOverride w:ilvl="5"/>
    <w:lvlOverride w:ilvl="6"/>
    <w:lvlOverride w:ilvl="7"/>
    <w:lvlOverride w:ilvl="8"/>
  </w:num>
  <w:num w:numId="29" w16cid:durableId="352925059">
    <w:abstractNumId w:val="6"/>
  </w:num>
  <w:num w:numId="30" w16cid:durableId="1928877744">
    <w:abstractNumId w:val="28"/>
  </w:num>
  <w:num w:numId="31" w16cid:durableId="2138864753">
    <w:abstractNumId w:val="18"/>
  </w:num>
  <w:num w:numId="32" w16cid:durableId="125589388">
    <w:abstractNumId w:val="29"/>
  </w:num>
  <w:num w:numId="33" w16cid:durableId="1785730871">
    <w:abstractNumId w:val="33"/>
  </w:num>
  <w:num w:numId="34" w16cid:durableId="1003314569">
    <w:abstractNumId w:val="24"/>
  </w:num>
  <w:num w:numId="35" w16cid:durableId="1952391694">
    <w:abstractNumId w:val="14"/>
  </w:num>
  <w:num w:numId="36" w16cid:durableId="168868033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6A7"/>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6DF"/>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DBB"/>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014"/>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39C3"/>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207"/>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0E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6BF"/>
    <w:rsid w:val="00E158A0"/>
    <w:rsid w:val="00E15ED4"/>
    <w:rsid w:val="00E161F1"/>
    <w:rsid w:val="00E16463"/>
    <w:rsid w:val="00E16705"/>
    <w:rsid w:val="00E16962"/>
    <w:rsid w:val="00E16F82"/>
    <w:rsid w:val="00E172BB"/>
    <w:rsid w:val="00E1769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0909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2.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d499e888-b648-4639-a12e-124bf1d657b9"/>
    <ds:schemaRef ds:uri="3b34c8f0-1ef5-4d1e-bb66-517ce7fe7356"/>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178</TotalTime>
  <Pages>2</Pages>
  <Words>1012</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6149</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4</cp:revision>
  <cp:lastPrinted>2016-06-21T23:35:00Z</cp:lastPrinted>
  <dcterms:created xsi:type="dcterms:W3CDTF">2024-03-29T11:51:00Z</dcterms:created>
  <dcterms:modified xsi:type="dcterms:W3CDTF">2024-04-05T09:40:00Z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